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E92" w14:textId="77777777" w:rsidR="00B54880" w:rsidRDefault="00B548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3BBA2350" w14:textId="77777777" w:rsidR="00B54880" w:rsidRDefault="00B54880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4880" w14:paraId="7FD5F3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79AB" w14:textId="77777777" w:rsidR="00B54880" w:rsidRDefault="00B548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8B83" w14:textId="77777777" w:rsidR="00B54880" w:rsidRDefault="00B548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0DD3C3" w14:textId="6DC43FB9" w:rsidR="00B54880" w:rsidRDefault="00B54880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E25D" w14:textId="77777777" w:rsidR="00B54880" w:rsidRDefault="00B54880">
            <w:pPr>
              <w:pStyle w:val="ConsPlusNormal"/>
            </w:pPr>
          </w:p>
        </w:tc>
      </w:tr>
    </w:tbl>
    <w:p w14:paraId="4DF726DD" w14:textId="77777777" w:rsidR="00B54880" w:rsidRDefault="00B54880">
      <w:pPr>
        <w:pStyle w:val="ConsPlusNormal"/>
        <w:spacing w:before="480"/>
      </w:pPr>
      <w:r>
        <w:rPr>
          <w:b/>
          <w:sz w:val="38"/>
        </w:rPr>
        <w:t>Как проверяют предоставление и использование средств на выполнение государственного (муниципального) задания на оказание услуг (выполнение работ)</w:t>
      </w:r>
    </w:p>
    <w:p w14:paraId="1D9ABE09" w14:textId="77777777" w:rsidR="00B54880" w:rsidRDefault="00B5488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B54880" w14:paraId="1D7B6C6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1943" w14:textId="77777777" w:rsidR="00B54880" w:rsidRDefault="00B5488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0FCF" w14:textId="77777777" w:rsidR="00B54880" w:rsidRDefault="00B548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D2A4454" w14:textId="77777777" w:rsidR="00B54880" w:rsidRDefault="00B54880">
            <w:pPr>
              <w:pStyle w:val="ConsPlusNormal"/>
              <w:jc w:val="both"/>
            </w:pPr>
            <w:r>
              <w:t>Проверка данного вопроса может быть проведена в рамках контрольных мероприятий органов государственного (муниципального) финансового контроля, а также в рамках внутреннего финансового аудита и ведомственного контроля.</w:t>
            </w:r>
          </w:p>
          <w:p w14:paraId="198C12F9" w14:textId="77777777" w:rsidR="00B54880" w:rsidRDefault="00B54880">
            <w:pPr>
              <w:pStyle w:val="ConsPlusNormal"/>
              <w:jc w:val="both"/>
            </w:pPr>
            <w:r>
              <w:t>Объектами проверок являются получатели средств на выполнение государственного (муниципального) задания - бюджетные и автономные учреждения. Могут проверить и казенные учреждения, если ГРБС сформировал им такие задания.</w:t>
            </w:r>
          </w:p>
          <w:p w14:paraId="2DC0A6BC" w14:textId="77777777" w:rsidR="00B54880" w:rsidRDefault="00B54880">
            <w:pPr>
              <w:pStyle w:val="ConsPlusNormal"/>
              <w:jc w:val="both"/>
            </w:pPr>
            <w:r>
              <w:t>Кроме того, могут проконтролировать учредителей - оценить правильность формирования ими государственного (муниципального) задания и соблюдение порядка предоставления средств на его выполнение.</w:t>
            </w:r>
          </w:p>
          <w:p w14:paraId="52C950B0" w14:textId="77777777" w:rsidR="00B54880" w:rsidRDefault="00B54880">
            <w:pPr>
              <w:pStyle w:val="ConsPlusNormal"/>
              <w:jc w:val="both"/>
            </w:pPr>
            <w:r>
              <w:t xml:space="preserve">В ходе указанных мероприятий проверяется соблюдение требований Бюджетного </w:t>
            </w:r>
            <w:hyperlink r:id="rId6">
              <w:r>
                <w:rPr>
                  <w:color w:val="0000FF"/>
                </w:rPr>
                <w:t>кодекса</w:t>
              </w:r>
            </w:hyperlink>
            <w:r>
              <w:t xml:space="preserve"> РФ и иных правовых актов, регулирующих данный вопрос.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5A57" w14:textId="77777777" w:rsidR="00B54880" w:rsidRDefault="00B54880">
            <w:pPr>
              <w:pStyle w:val="ConsPlusNormal"/>
            </w:pPr>
          </w:p>
        </w:tc>
      </w:tr>
    </w:tbl>
    <w:p w14:paraId="22F9CEF5" w14:textId="77777777" w:rsidR="00B54880" w:rsidRDefault="00B54880">
      <w:pPr>
        <w:pStyle w:val="ConsPlusNormal"/>
        <w:spacing w:before="400"/>
        <w:jc w:val="both"/>
      </w:pPr>
    </w:p>
    <w:p w14:paraId="6485614C" w14:textId="77777777" w:rsidR="00B54880" w:rsidRDefault="00B54880">
      <w:pPr>
        <w:pStyle w:val="ConsPlusNormal"/>
      </w:pPr>
      <w:r>
        <w:rPr>
          <w:b/>
          <w:sz w:val="32"/>
        </w:rPr>
        <w:t>Оглавление:</w:t>
      </w:r>
    </w:p>
    <w:p w14:paraId="6BF287B5" w14:textId="77777777" w:rsidR="00B54880" w:rsidRDefault="00B54880">
      <w:pPr>
        <w:pStyle w:val="ConsPlusNormal"/>
        <w:spacing w:before="340"/>
        <w:ind w:left="180"/>
      </w:pPr>
      <w:r>
        <w:t xml:space="preserve">1. </w:t>
      </w:r>
      <w:hyperlink w:anchor="P14">
        <w:r>
          <w:rPr>
            <w:color w:val="0000FF"/>
          </w:rPr>
          <w:t>Кто может проверить предоставление и использование средств на выполнение государственного (муниципального) задания</w:t>
        </w:r>
      </w:hyperlink>
    </w:p>
    <w:p w14:paraId="524D288F" w14:textId="77777777" w:rsidR="00B54880" w:rsidRDefault="00B54880">
      <w:pPr>
        <w:pStyle w:val="ConsPlusNormal"/>
        <w:ind w:left="180"/>
      </w:pPr>
      <w:r>
        <w:t xml:space="preserve">2. </w:t>
      </w:r>
      <w:hyperlink w:anchor="P34">
        <w:r>
          <w:rPr>
            <w:color w:val="0000FF"/>
          </w:rPr>
          <w:t>Кого проверяют в ходе контроля за предоставлением и использованием средств на выполнение государственного (муниципального) задания</w:t>
        </w:r>
      </w:hyperlink>
    </w:p>
    <w:p w14:paraId="7519CEE3" w14:textId="77777777" w:rsidR="00B54880" w:rsidRDefault="00B54880">
      <w:pPr>
        <w:pStyle w:val="ConsPlusNormal"/>
        <w:ind w:left="180"/>
      </w:pPr>
      <w:r>
        <w:t xml:space="preserve">3. </w:t>
      </w:r>
      <w:hyperlink w:anchor="P43">
        <w:r>
          <w:rPr>
            <w:color w:val="0000FF"/>
          </w:rPr>
          <w:t>Как проверяют предоставление и использование средств на выполнение государственного (муниципального) задания</w:t>
        </w:r>
      </w:hyperlink>
    </w:p>
    <w:p w14:paraId="7A22CB9A" w14:textId="77777777" w:rsidR="00B54880" w:rsidRDefault="00B54880">
      <w:pPr>
        <w:pStyle w:val="ConsPlusNormal"/>
        <w:spacing w:before="400"/>
        <w:jc w:val="both"/>
      </w:pPr>
    </w:p>
    <w:p w14:paraId="23E9DDF0" w14:textId="77777777" w:rsidR="00B54880" w:rsidRDefault="00B54880">
      <w:pPr>
        <w:pStyle w:val="ConsPlusNormal"/>
        <w:outlineLvl w:val="0"/>
      </w:pPr>
      <w:bookmarkStart w:id="0" w:name="P14"/>
      <w:bookmarkEnd w:id="0"/>
      <w:r>
        <w:rPr>
          <w:b/>
          <w:sz w:val="32"/>
        </w:rPr>
        <w:t>1. Кто может проверить предоставление и использование средств на выполнение государственного (муниципального) задания</w:t>
      </w:r>
    </w:p>
    <w:p w14:paraId="5DF417ED" w14:textId="77777777" w:rsidR="00B54880" w:rsidRDefault="00B54880">
      <w:pPr>
        <w:pStyle w:val="ConsPlusNormal"/>
        <w:spacing w:before="220"/>
        <w:jc w:val="both"/>
      </w:pPr>
      <w:r>
        <w:t>Проверку данных вопросов могут провести органы государственного (муниципального) финансового контроля в рамках контрольных мероприятий (</w:t>
      </w:r>
      <w:hyperlink r:id="rId7">
        <w:r>
          <w:rPr>
            <w:color w:val="0000FF"/>
          </w:rPr>
          <w:t>п. 1 ст. 265</w:t>
        </w:r>
      </w:hyperlink>
      <w:r>
        <w:t xml:space="preserve">, </w:t>
      </w:r>
      <w:hyperlink r:id="rId8">
        <w:r>
          <w:rPr>
            <w:color w:val="0000FF"/>
          </w:rPr>
          <w:t>п. 1 ст. 268.1</w:t>
        </w:r>
      </w:hyperlink>
      <w:r>
        <w:t xml:space="preserve">, </w:t>
      </w:r>
      <w:hyperlink r:id="rId9">
        <w:r>
          <w:rPr>
            <w:color w:val="0000FF"/>
          </w:rPr>
          <w:t>п. 1 ст. 269.2</w:t>
        </w:r>
      </w:hyperlink>
      <w:r>
        <w:t xml:space="preserve"> БК РФ).</w:t>
      </w:r>
    </w:p>
    <w:p w14:paraId="7846D3D5" w14:textId="77777777" w:rsidR="00B54880" w:rsidRDefault="00B54880">
      <w:pPr>
        <w:pStyle w:val="ConsPlusNormal"/>
        <w:spacing w:before="220"/>
        <w:jc w:val="both"/>
      </w:pPr>
      <w:r>
        <w:t xml:space="preserve">Так, Счетная палата РФ может проверить формирование и утверждение </w:t>
      </w:r>
      <w:proofErr w:type="spellStart"/>
      <w:r>
        <w:t>госзадания</w:t>
      </w:r>
      <w:proofErr w:type="spellEnd"/>
      <w:r>
        <w:t xml:space="preserve">. Это делается в рамках последующего контроля за исполнением федерального бюджета в ходе проверки и анализа выполнения ГРБС (РБС) бюджетных полномочий, установленных </w:t>
      </w:r>
      <w:hyperlink r:id="rId10">
        <w:r>
          <w:rPr>
            <w:color w:val="0000FF"/>
          </w:rPr>
          <w:t>ст. 158</w:t>
        </w:r>
      </w:hyperlink>
      <w:r>
        <w:t xml:space="preserve"> и другими статьями БК РФ (</w:t>
      </w:r>
      <w:hyperlink r:id="rId11">
        <w:r>
          <w:rPr>
            <w:color w:val="0000FF"/>
          </w:rPr>
          <w:t>п. 3.2</w:t>
        </w:r>
      </w:hyperlink>
      <w:r>
        <w:t xml:space="preserve"> СГА 203 "Последующий контроль за исполнением федерального бюджета").</w:t>
      </w:r>
    </w:p>
    <w:p w14:paraId="5039926E" w14:textId="77777777" w:rsidR="00B54880" w:rsidRDefault="00B54880">
      <w:pPr>
        <w:pStyle w:val="ConsPlusNormal"/>
        <w:spacing w:before="220"/>
        <w:jc w:val="both"/>
      </w:pPr>
      <w:r>
        <w:t xml:space="preserve">Органы внутреннего государственного (муниципального) финансового контроля также вправе </w:t>
      </w:r>
      <w:r>
        <w:lastRenderedPageBreak/>
        <w:t>проводить проверки, в ходе которых могут быть изучены вопросы предоставления и использования средств на выполнение государственного (муниципального) задания, например (</w:t>
      </w:r>
      <w:hyperlink r:id="rId12">
        <w:r>
          <w:rPr>
            <w:color w:val="0000FF"/>
          </w:rPr>
          <w:t>п. 13</w:t>
        </w:r>
      </w:hyperlink>
      <w:r>
        <w:t xml:space="preserve"> Федерального стандарта N 208):</w:t>
      </w:r>
    </w:p>
    <w:p w14:paraId="4BB37022" w14:textId="77777777" w:rsidR="00B54880" w:rsidRDefault="00B54880">
      <w:pPr>
        <w:pStyle w:val="ConsPlusNormal"/>
        <w:numPr>
          <w:ilvl w:val="0"/>
          <w:numId w:val="1"/>
        </w:numPr>
        <w:spacing w:before="220"/>
        <w:jc w:val="both"/>
      </w:pPr>
      <w:r>
        <w:t>проверку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</w:r>
    </w:p>
    <w:p w14:paraId="3DE1B0F4" w14:textId="77777777" w:rsidR="00B54880" w:rsidRDefault="00B54880">
      <w:pPr>
        <w:pStyle w:val="ConsPlusNormal"/>
        <w:numPr>
          <w:ilvl w:val="0"/>
          <w:numId w:val="1"/>
        </w:numPr>
        <w:spacing w:before="220"/>
        <w:jc w:val="both"/>
      </w:pPr>
      <w:r>
        <w:t>проверку достоверности отчета об исполнении государственного (муниципального) задания;</w:t>
      </w:r>
    </w:p>
    <w:p w14:paraId="164E4A00" w14:textId="77777777" w:rsidR="00B54880" w:rsidRDefault="00B54880">
      <w:pPr>
        <w:pStyle w:val="ConsPlusNormal"/>
        <w:numPr>
          <w:ilvl w:val="0"/>
          <w:numId w:val="1"/>
        </w:numPr>
        <w:spacing w:before="220"/>
        <w:jc w:val="both"/>
      </w:pPr>
      <w:r>
        <w:t>проверку осуществления расходов на выполнение функций казенного учреждения (госоргана, органа местного самоуправления), их отражения в бюджетном учете и отчетности.</w:t>
      </w:r>
    </w:p>
    <w:p w14:paraId="54798ECE" w14:textId="77777777" w:rsidR="00B54880" w:rsidRDefault="00B54880">
      <w:pPr>
        <w:pStyle w:val="ConsPlusNormal"/>
        <w:spacing w:before="220"/>
        <w:jc w:val="both"/>
      </w:pPr>
      <w:r>
        <w:t xml:space="preserve">Предоставление и использование средств на выполнение государственного (муниципального) задания могут проверить ГАБС </w:t>
      </w:r>
      <w:hyperlink r:id="rId13">
        <w:r>
          <w:rPr>
            <w:color w:val="0000FF"/>
          </w:rPr>
          <w:t>(АБС)</w:t>
        </w:r>
      </w:hyperlink>
      <w:r>
        <w:t xml:space="preserve"> в рамках внутреннего финансового аудита. В частности, они могут оценить (</w:t>
      </w:r>
      <w:proofErr w:type="spellStart"/>
      <w:r>
        <w:t>пп</w:t>
      </w:r>
      <w:proofErr w:type="spellEnd"/>
      <w:r>
        <w:t>. "б" п. 16 Федерального стандарта N 196н):</w:t>
      </w:r>
    </w:p>
    <w:p w14:paraId="56686680" w14:textId="77777777" w:rsidR="00B54880" w:rsidRDefault="00B54880">
      <w:pPr>
        <w:pStyle w:val="ConsPlusNormal"/>
        <w:numPr>
          <w:ilvl w:val="0"/>
          <w:numId w:val="2"/>
        </w:numPr>
        <w:spacing w:before="220"/>
        <w:jc w:val="both"/>
      </w:pPr>
      <w:r>
        <w:t>своевременность и качество подготовки правовых актов и документов, обеспечивающих предоставление субсидий бюджетным и автономным учреждениям и их использование;</w:t>
      </w:r>
    </w:p>
    <w:p w14:paraId="7E312B64" w14:textId="77777777" w:rsidR="00B54880" w:rsidRDefault="00B54880">
      <w:pPr>
        <w:pStyle w:val="ConsPlusNormal"/>
        <w:numPr>
          <w:ilvl w:val="0"/>
          <w:numId w:val="2"/>
        </w:numPr>
        <w:spacing w:before="220"/>
        <w:jc w:val="both"/>
      </w:pPr>
      <w:r>
        <w:t>обоснованность показателей государственного (муниципального) задания на оказание государственных (муниципальных) услуг (выполнение работ) исходя из их объема в соответствии с социальными гарантиями и обязательствами государства.</w:t>
      </w:r>
    </w:p>
    <w:p w14:paraId="3F5A94F0" w14:textId="77777777" w:rsidR="00B54880" w:rsidRDefault="00B54880">
      <w:pPr>
        <w:pStyle w:val="ConsPlusNormal"/>
        <w:spacing w:before="220"/>
        <w:jc w:val="both"/>
      </w:pPr>
      <w:r>
        <w:t>Полагаем, что использование средств на выполнение государственного (муниципального) задания могут проверить также учредители в подведомственных учреждениях в рамках ведомственного контроля (</w:t>
      </w:r>
      <w:hyperlink r:id="rId14">
        <w:r>
          <w:rPr>
            <w:color w:val="0000FF"/>
          </w:rPr>
          <w:t>п. 5.1 ст. 32</w:t>
        </w:r>
      </w:hyperlink>
      <w:r>
        <w:t xml:space="preserve"> Закона о некоммерческих организациях, </w:t>
      </w:r>
      <w:hyperlink r:id="rId15">
        <w:r>
          <w:rPr>
            <w:color w:val="0000FF"/>
          </w:rPr>
          <w:t>ч. 3.23 ст. 2</w:t>
        </w:r>
      </w:hyperlink>
      <w:r>
        <w:t xml:space="preserve"> Закона об автономных учреждениях, </w:t>
      </w:r>
      <w:hyperlink r:id="rId16">
        <w:r>
          <w:rPr>
            <w:color w:val="0000FF"/>
          </w:rPr>
          <w:t>Письмо</w:t>
        </w:r>
      </w:hyperlink>
      <w:r>
        <w:t xml:space="preserve"> Минфина России от 22.03.2019 N 02-09-09/19503).</w:t>
      </w:r>
    </w:p>
    <w:p w14:paraId="11108D89" w14:textId="77777777" w:rsidR="00B54880" w:rsidRDefault="00B54880">
      <w:pPr>
        <w:pStyle w:val="ConsPlusNormal"/>
        <w:jc w:val="both"/>
      </w:pPr>
    </w:p>
    <w:p w14:paraId="43128C26" w14:textId="77777777" w:rsidR="00B54880" w:rsidRDefault="00B5488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B54880" w14:paraId="0E6BB1B3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5D4E" w14:textId="77777777" w:rsidR="00B54880" w:rsidRDefault="00B5488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E34875" w14:textId="77777777" w:rsidR="00B54880" w:rsidRDefault="00B54880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DA0968D" wp14:editId="04BC6E47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05FA983" w14:textId="77777777" w:rsidR="00B54880" w:rsidRDefault="00B54880">
            <w:pPr>
              <w:pStyle w:val="ConsPlusNormal"/>
              <w:jc w:val="both"/>
            </w:pPr>
            <w:r>
              <w:t>См. также:</w:t>
            </w:r>
          </w:p>
          <w:p w14:paraId="20F6EDEB" w14:textId="77777777" w:rsidR="00B54880" w:rsidRDefault="00B54880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18">
              <w:r>
                <w:rPr>
                  <w:color w:val="0000FF"/>
                </w:rPr>
                <w:t>Что нужно знать о внешнем государственном (муниципальном) финансовом контроле</w:t>
              </w:r>
            </w:hyperlink>
          </w:p>
          <w:p w14:paraId="3C12166E" w14:textId="77777777" w:rsidR="00B54880" w:rsidRDefault="00B54880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19">
              <w:r>
                <w:rPr>
                  <w:color w:val="0000FF"/>
                </w:rPr>
                <w:t>Что нужно знать о внутреннем государственном (муниципальном) финансовом контроле</w:t>
              </w:r>
            </w:hyperlink>
          </w:p>
          <w:p w14:paraId="1CF34D6F" w14:textId="77777777" w:rsidR="00B54880" w:rsidRDefault="00B54880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20">
              <w:r>
                <w:rPr>
                  <w:color w:val="0000FF"/>
                </w:rPr>
                <w:t>В каких целях осуществляется внутренний финансовый аудит и какие задачи решает</w:t>
              </w:r>
            </w:hyperlink>
          </w:p>
          <w:p w14:paraId="3CEE5C23" w14:textId="77777777" w:rsidR="00B54880" w:rsidRDefault="00B54880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21">
              <w:r>
                <w:rPr>
                  <w:color w:val="0000FF"/>
                </w:rPr>
                <w:t>Кто проводит внутренний финансовый аудит</w:t>
              </w:r>
            </w:hyperlink>
          </w:p>
          <w:p w14:paraId="1F518920" w14:textId="77777777" w:rsidR="00B54880" w:rsidRDefault="00B54880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22">
              <w:r>
                <w:rPr>
                  <w:color w:val="0000FF"/>
                </w:rPr>
                <w:t>Что нужно знать о ведомственном контроле за деятельностью учреждений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655F" w14:textId="77777777" w:rsidR="00B54880" w:rsidRDefault="00B54880">
            <w:pPr>
              <w:pStyle w:val="ConsPlusNormal"/>
            </w:pPr>
          </w:p>
        </w:tc>
      </w:tr>
    </w:tbl>
    <w:p w14:paraId="548CDEBE" w14:textId="77777777" w:rsidR="00B54880" w:rsidRDefault="00B54880">
      <w:pPr>
        <w:pStyle w:val="ConsPlusNormal"/>
        <w:spacing w:before="400"/>
        <w:jc w:val="both"/>
      </w:pPr>
    </w:p>
    <w:p w14:paraId="3B49FA23" w14:textId="77777777" w:rsidR="00B54880" w:rsidRDefault="00B54880">
      <w:pPr>
        <w:pStyle w:val="ConsPlusNormal"/>
        <w:outlineLvl w:val="0"/>
      </w:pPr>
      <w:bookmarkStart w:id="1" w:name="P34"/>
      <w:bookmarkEnd w:id="1"/>
      <w:r>
        <w:rPr>
          <w:b/>
          <w:sz w:val="32"/>
        </w:rPr>
        <w:t>2. Кого проверяют в ходе контроля за предоставлением и использованием средств на выполнение государственного (муниципального) задания</w:t>
      </w:r>
    </w:p>
    <w:p w14:paraId="200DE5C3" w14:textId="77777777" w:rsidR="00B54880" w:rsidRDefault="00B54880">
      <w:pPr>
        <w:pStyle w:val="ConsPlusNormal"/>
        <w:spacing w:before="220"/>
        <w:jc w:val="both"/>
      </w:pPr>
      <w:r>
        <w:t>Объектами контроля по данным вопросам являются (</w:t>
      </w:r>
      <w:hyperlink r:id="rId23">
        <w:r>
          <w:rPr>
            <w:color w:val="0000FF"/>
          </w:rPr>
          <w:t>п. 3 ст. 69.2</w:t>
        </w:r>
      </w:hyperlink>
      <w:r>
        <w:t xml:space="preserve">, </w:t>
      </w:r>
      <w:hyperlink r:id="rId24">
        <w:r>
          <w:rPr>
            <w:color w:val="0000FF"/>
          </w:rPr>
          <w:t>п. 1 ст. 78.1</w:t>
        </w:r>
      </w:hyperlink>
      <w:r>
        <w:t xml:space="preserve">, </w:t>
      </w:r>
      <w:hyperlink r:id="rId25">
        <w:r>
          <w:rPr>
            <w:color w:val="0000FF"/>
          </w:rPr>
          <w:t>п. 1 ст. 266.1</w:t>
        </w:r>
      </w:hyperlink>
      <w:r>
        <w:t xml:space="preserve"> БК РФ, </w:t>
      </w:r>
      <w:hyperlink r:id="rId26">
        <w:r>
          <w:rPr>
            <w:color w:val="0000FF"/>
          </w:rPr>
          <w:t>п. п. 3.1.1.2</w:t>
        </w:r>
      </w:hyperlink>
      <w:r>
        <w:t xml:space="preserve">, </w:t>
      </w:r>
      <w:hyperlink r:id="rId27">
        <w:r>
          <w:rPr>
            <w:color w:val="0000FF"/>
          </w:rPr>
          <w:t>3.3.2.1</w:t>
        </w:r>
      </w:hyperlink>
      <w:r>
        <w:t xml:space="preserve"> СГА 103 "Финансовый аудит (контроль)"):</w:t>
      </w:r>
    </w:p>
    <w:p w14:paraId="50342389" w14:textId="77777777" w:rsidR="00B54880" w:rsidRDefault="00B54880">
      <w:pPr>
        <w:pStyle w:val="ConsPlusNormal"/>
        <w:numPr>
          <w:ilvl w:val="0"/>
          <w:numId w:val="4"/>
        </w:numPr>
        <w:spacing w:before="220"/>
        <w:jc w:val="both"/>
      </w:pPr>
      <w:hyperlink r:id="rId28">
        <w:r>
          <w:rPr>
            <w:color w:val="0000FF"/>
          </w:rPr>
          <w:t>органы</w:t>
        </w:r>
      </w:hyperlink>
      <w:r>
        <w:t>, осуществляющие функции и полномочия учредителя;</w:t>
      </w:r>
    </w:p>
    <w:p w14:paraId="7B44135C" w14:textId="77777777" w:rsidR="00B54880" w:rsidRDefault="00B54880">
      <w:pPr>
        <w:pStyle w:val="ConsPlusNormal"/>
        <w:numPr>
          <w:ilvl w:val="0"/>
          <w:numId w:val="4"/>
        </w:numPr>
        <w:spacing w:before="220"/>
        <w:jc w:val="both"/>
      </w:pPr>
      <w:r>
        <w:t>государственные (муниципальные) бюджетные (автономные) учреждения;</w:t>
      </w:r>
    </w:p>
    <w:p w14:paraId="7DA7B365" w14:textId="77777777" w:rsidR="00B54880" w:rsidRDefault="00B54880">
      <w:pPr>
        <w:pStyle w:val="ConsPlusNormal"/>
        <w:numPr>
          <w:ilvl w:val="0"/>
          <w:numId w:val="4"/>
        </w:numPr>
        <w:spacing w:before="220"/>
        <w:jc w:val="both"/>
      </w:pPr>
      <w:r>
        <w:t>казенные учреждения, которым сформировано государственное (муниципальное) задание.</w:t>
      </w:r>
    </w:p>
    <w:p w14:paraId="259A1704" w14:textId="77777777" w:rsidR="00B54880" w:rsidRDefault="00B54880">
      <w:pPr>
        <w:pStyle w:val="ConsPlusNormal"/>
        <w:jc w:val="both"/>
      </w:pPr>
    </w:p>
    <w:p w14:paraId="2371A888" w14:textId="77777777" w:rsidR="00B54880" w:rsidRDefault="00B5488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B54880" w14:paraId="79DD4BAA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2619" w14:textId="77777777" w:rsidR="00B54880" w:rsidRDefault="00B5488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5D16BDD" w14:textId="77777777" w:rsidR="00B54880" w:rsidRDefault="00B54880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BDF3F1B" wp14:editId="4E84DA2E">
                  <wp:extent cx="152400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23F4DE" w14:textId="77777777" w:rsidR="00B54880" w:rsidRDefault="00B54880">
            <w:pPr>
              <w:pStyle w:val="ConsPlusNormal"/>
              <w:jc w:val="both"/>
            </w:pPr>
            <w:r>
              <w:t xml:space="preserve">См. также: </w:t>
            </w:r>
            <w:hyperlink r:id="rId29">
              <w:r>
                <w:rPr>
                  <w:color w:val="0000FF"/>
                </w:rPr>
                <w:t>Какой порядок финансирования казенного, бюджетного и автономного учреждения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E4F4" w14:textId="77777777" w:rsidR="00B54880" w:rsidRDefault="00B54880">
            <w:pPr>
              <w:pStyle w:val="ConsPlusNormal"/>
            </w:pPr>
          </w:p>
        </w:tc>
      </w:tr>
    </w:tbl>
    <w:p w14:paraId="39ACAF98" w14:textId="77777777" w:rsidR="00B54880" w:rsidRDefault="00B54880">
      <w:pPr>
        <w:pStyle w:val="ConsPlusNormal"/>
        <w:spacing w:before="400"/>
        <w:jc w:val="both"/>
      </w:pPr>
    </w:p>
    <w:p w14:paraId="30D9375B" w14:textId="77777777" w:rsidR="00B54880" w:rsidRDefault="00B54880">
      <w:pPr>
        <w:pStyle w:val="ConsPlusNormal"/>
        <w:outlineLvl w:val="0"/>
      </w:pPr>
      <w:bookmarkStart w:id="2" w:name="P43"/>
      <w:bookmarkEnd w:id="2"/>
      <w:r>
        <w:rPr>
          <w:b/>
          <w:sz w:val="32"/>
        </w:rPr>
        <w:t>3. Как проверяют предоставление и использование средств на выполнение государственного (муниципального) задания</w:t>
      </w:r>
    </w:p>
    <w:p w14:paraId="182D6F6F" w14:textId="77777777" w:rsidR="00B54880" w:rsidRDefault="00B54880">
      <w:pPr>
        <w:pStyle w:val="ConsPlusNormal"/>
        <w:spacing w:before="220"/>
        <w:jc w:val="both"/>
      </w:pPr>
      <w:r>
        <w:t>Для проверки данного вопроса органы контроля берут за основу требования Бюджетного кодекса РФ и иных правовых актов, регулирующих вопросы предоставления и использования средств на выполнение государственного (муниципального) задания и финансового обеспечения его выполнения (</w:t>
      </w:r>
      <w:hyperlink r:id="rId30">
        <w:r>
          <w:rPr>
            <w:color w:val="0000FF"/>
          </w:rPr>
          <w:t>ст. 69.2</w:t>
        </w:r>
      </w:hyperlink>
      <w:r>
        <w:t xml:space="preserve"> БК РФ, </w:t>
      </w:r>
      <w:hyperlink r:id="rId31">
        <w:r>
          <w:rPr>
            <w:color w:val="0000FF"/>
          </w:rPr>
          <w:t>п. 2.1.1</w:t>
        </w:r>
      </w:hyperlink>
      <w:r>
        <w:t xml:space="preserve"> СГА 103, </w:t>
      </w:r>
      <w:hyperlink r:id="rId32">
        <w:r>
          <w:rPr>
            <w:color w:val="0000FF"/>
          </w:rPr>
          <w:t>п. 4.8</w:t>
        </w:r>
      </w:hyperlink>
      <w:r>
        <w:t xml:space="preserve"> Методических рекомендаций, утвержденных Казначейством России 31.12.2019).</w:t>
      </w:r>
    </w:p>
    <w:p w14:paraId="2218B2D8" w14:textId="77777777" w:rsidR="00B54880" w:rsidRDefault="00B54880">
      <w:pPr>
        <w:pStyle w:val="ConsPlusNormal"/>
        <w:spacing w:before="220"/>
        <w:jc w:val="both"/>
      </w:pPr>
      <w:r>
        <w:t>К таким НПА относятся, например:</w:t>
      </w:r>
    </w:p>
    <w:p w14:paraId="2891C0D1" w14:textId="77777777" w:rsidR="00B54880" w:rsidRDefault="00B54880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порядок формирования и финансового обеспечения выполнения государственного (муниципального) задания на оказание государственных (муниципальных) услуг (выполнение работ). При проверке федеральных учреждений используют </w:t>
      </w:r>
      <w:hyperlink r:id="rId33">
        <w:r>
          <w:rPr>
            <w:color w:val="0000FF"/>
          </w:rPr>
          <w:t>Положение</w:t>
        </w:r>
      </w:hyperlink>
      <w:r>
        <w:t>, утвержденное Постановлением Правительства РФ от 26.06.2015 N 640;</w:t>
      </w:r>
    </w:p>
    <w:p w14:paraId="7A9EDC2D" w14:textId="77777777" w:rsidR="00B54880" w:rsidRDefault="00B54880">
      <w:pPr>
        <w:pStyle w:val="ConsPlusNormal"/>
        <w:numPr>
          <w:ilvl w:val="0"/>
          <w:numId w:val="5"/>
        </w:numPr>
        <w:spacing w:before="220"/>
        <w:jc w:val="both"/>
      </w:pPr>
      <w:hyperlink r:id="rId34">
        <w:r>
          <w:rPr>
            <w:color w:val="0000FF"/>
          </w:rPr>
          <w:t>общие требования</w:t>
        </w:r>
      </w:hyperlink>
      <w:r>
        <w:t xml:space="preserve"> к определению нормативных затрат на оказание государственных (муниципальных) услуг;</w:t>
      </w:r>
    </w:p>
    <w:p w14:paraId="3B71AAC6" w14:textId="77777777" w:rsidR="00B54880" w:rsidRDefault="00B54880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общероссийские базовые (отраслевые) перечни (классификаторы) государственных и муниципальных услуг, </w:t>
      </w:r>
      <w:hyperlink r:id="rId35">
        <w:r>
          <w:rPr>
            <w:color w:val="0000FF"/>
          </w:rPr>
          <w:t>федеральные</w:t>
        </w:r>
      </w:hyperlink>
      <w:r>
        <w:t xml:space="preserve"> </w:t>
      </w:r>
      <w:hyperlink r:id="rId36">
        <w:r>
          <w:rPr>
            <w:color w:val="0000FF"/>
          </w:rPr>
          <w:t>(региональные)</w:t>
        </w:r>
      </w:hyperlink>
      <w:r>
        <w:t xml:space="preserve"> перечни (классификаторы) таких услуг, не включенных в упомянутые перечни (классификаторы).</w:t>
      </w:r>
    </w:p>
    <w:p w14:paraId="12B154A9" w14:textId="77777777" w:rsidR="00B54880" w:rsidRDefault="00B54880">
      <w:pPr>
        <w:pStyle w:val="ConsPlusNormal"/>
        <w:spacing w:before="220"/>
        <w:jc w:val="both"/>
      </w:pPr>
      <w:r>
        <w:t xml:space="preserve">Круг проверяемых вопросов может быть установлен в стандартах и методических документах органов контроля, в частности в </w:t>
      </w:r>
      <w:hyperlink r:id="rId37">
        <w:r>
          <w:rPr>
            <w:color w:val="0000FF"/>
          </w:rPr>
          <w:t>п. 3.3.2</w:t>
        </w:r>
      </w:hyperlink>
      <w:r>
        <w:t xml:space="preserve"> СГА 103, </w:t>
      </w:r>
      <w:hyperlink r:id="rId38">
        <w:r>
          <w:rPr>
            <w:color w:val="0000FF"/>
          </w:rPr>
          <w:t>п. п. 4.8.2</w:t>
        </w:r>
      </w:hyperlink>
      <w:r>
        <w:t xml:space="preserve">, </w:t>
      </w:r>
      <w:hyperlink r:id="rId39">
        <w:r>
          <w:rPr>
            <w:color w:val="0000FF"/>
          </w:rPr>
          <w:t>4.8.2.1</w:t>
        </w:r>
      </w:hyperlink>
      <w:r>
        <w:t xml:space="preserve">, </w:t>
      </w:r>
      <w:hyperlink r:id="rId40">
        <w:r>
          <w:rPr>
            <w:color w:val="0000FF"/>
          </w:rPr>
          <w:t>4.8.2.2</w:t>
        </w:r>
      </w:hyperlink>
      <w:r>
        <w:t xml:space="preserve"> Методических рекомендаций, утвержденных Казначейством России 31.12.2019.</w:t>
      </w:r>
    </w:p>
    <w:p w14:paraId="38098BFF" w14:textId="77777777" w:rsidR="00B54880" w:rsidRDefault="00B54880">
      <w:pPr>
        <w:pStyle w:val="ConsPlusNormal"/>
        <w:spacing w:before="220"/>
        <w:jc w:val="both"/>
      </w:pPr>
      <w:r>
        <w:t xml:space="preserve">В ходе проверки </w:t>
      </w:r>
      <w:r>
        <w:rPr>
          <w:b/>
        </w:rPr>
        <w:t>органа, осуществляющего функции и полномочия учредителя,</w:t>
      </w:r>
      <w:r>
        <w:t xml:space="preserve"> могут проверить:</w:t>
      </w:r>
    </w:p>
    <w:p w14:paraId="614C7CBE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наличие для каждого учреждения утвержденного государственного (муниципального) задания на каждый год (каждый год и плановый период), который приходится на период проверки;</w:t>
      </w:r>
    </w:p>
    <w:p w14:paraId="4E5A6D53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корректность формирования государственного (муниципального) задания, в том числе:</w:t>
      </w:r>
    </w:p>
    <w:p w14:paraId="7E20DCFE" w14:textId="77777777" w:rsidR="00B54880" w:rsidRDefault="00B54880">
      <w:pPr>
        <w:pStyle w:val="ConsPlusNormal"/>
        <w:numPr>
          <w:ilvl w:val="1"/>
          <w:numId w:val="6"/>
        </w:numPr>
        <w:spacing w:before="220"/>
        <w:jc w:val="both"/>
      </w:pPr>
      <w:r>
        <w:t>его соответствие установленной форме (разделам, реквизитам документа);</w:t>
      </w:r>
    </w:p>
    <w:p w14:paraId="4DCB064A" w14:textId="77777777" w:rsidR="00B54880" w:rsidRDefault="00B54880">
      <w:pPr>
        <w:pStyle w:val="ConsPlusNormal"/>
        <w:numPr>
          <w:ilvl w:val="1"/>
          <w:numId w:val="6"/>
        </w:numPr>
        <w:spacing w:before="220"/>
        <w:jc w:val="both"/>
      </w:pPr>
      <w:r>
        <w:t>соответствие указанных в нем наименований услуг (работ) их наименованиям в учредительных документах учреждения, общероссийских базовых (отраслевых) перечнях (классификаторах) государственных и муниципальных услуг, федеральных (региональных) перечнях (классификаторах) таких услуг, не включенных в упомянутые перечни (классификаторы);</w:t>
      </w:r>
    </w:p>
    <w:p w14:paraId="00BD3534" w14:textId="77777777" w:rsidR="00B54880" w:rsidRDefault="00B54880">
      <w:pPr>
        <w:pStyle w:val="ConsPlusNormal"/>
        <w:numPr>
          <w:ilvl w:val="1"/>
          <w:numId w:val="6"/>
        </w:numPr>
        <w:spacing w:before="220"/>
        <w:jc w:val="both"/>
      </w:pPr>
      <w:r>
        <w:t>наличие в государственном (муниципальном) задании обязательных положений: показателей качества, объема (содержания) услуг (работ), требований к отчетности и др.;</w:t>
      </w:r>
    </w:p>
    <w:p w14:paraId="75AECA14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lastRenderedPageBreak/>
        <w:t>соблюдение сроков формирования, изменения, утверждения государственного (муниципального) задания;</w:t>
      </w:r>
    </w:p>
    <w:p w14:paraId="4D8B5854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правомерность соглашений о предоставлении субсидии на выполнение государственного (муниципального) задания (например, соответствие типовой форме (при наличии), своевременность заключения, наличие обязательных условий);</w:t>
      </w:r>
    </w:p>
    <w:p w14:paraId="75C865A7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правильность расчета объема финансового обеспечения выполнения государственного (муниципального) задания;</w:t>
      </w:r>
    </w:p>
    <w:p w14:paraId="23F0C163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правильность определения нормативных затрат на оказание услуг (выполнение работ) и затрат на содержание имущества, уплату налогов по нему;</w:t>
      </w:r>
    </w:p>
    <w:p w14:paraId="6637C768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соблюдение правил изменения объемов субсидии на выполнение государственного (муниципального) задания, правил и сроков ее перечисления;</w:t>
      </w:r>
    </w:p>
    <w:p w14:paraId="04E9D5D3" w14:textId="77777777" w:rsidR="00B54880" w:rsidRDefault="00B54880">
      <w:pPr>
        <w:pStyle w:val="ConsPlusNormal"/>
        <w:numPr>
          <w:ilvl w:val="0"/>
          <w:numId w:val="6"/>
        </w:numPr>
        <w:spacing w:before="220"/>
        <w:jc w:val="both"/>
      </w:pPr>
      <w:r>
        <w:t>осуществление контроля за выполнением государственного (муниципального) задания.</w:t>
      </w:r>
    </w:p>
    <w:p w14:paraId="19BCA87E" w14:textId="77777777" w:rsidR="00B54880" w:rsidRDefault="00B54880">
      <w:pPr>
        <w:pStyle w:val="ConsPlusNormal"/>
        <w:spacing w:before="220"/>
        <w:jc w:val="both"/>
      </w:pPr>
      <w:r>
        <w:t xml:space="preserve">В ходе проверки </w:t>
      </w:r>
      <w:r>
        <w:rPr>
          <w:b/>
        </w:rPr>
        <w:t>бюджетного (автономного) учреждения</w:t>
      </w:r>
      <w:r>
        <w:t xml:space="preserve"> могут проверить:</w:t>
      </w:r>
    </w:p>
    <w:p w14:paraId="75989D05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целевое использование средств (соответствие направлений расходования субсидии целям государственного (муниципального) задания);</w:t>
      </w:r>
    </w:p>
    <w:p w14:paraId="7ACCD24E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правильность отражения операций по учету субсидий, полученных и израсходованных на финансовое обеспечение выполнения государственного (муниципального) задания;</w:t>
      </w:r>
    </w:p>
    <w:p w14:paraId="1EAD0687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соблюдение требований к формированию (представлению) отчетности о выполнении государственного (муниципального) задания, достоверность отчетных данных;</w:t>
      </w:r>
    </w:p>
    <w:p w14:paraId="6EE03D2F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полноту выполнения государственного (муниципального) задания, анализ причин отклонения фактических показателей качества и (или) объема (содержания) услуги (работы) от плановых значений;</w:t>
      </w:r>
    </w:p>
    <w:p w14:paraId="2B98339B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правильность расчета объема субсидии, подлежащей возврату в связи с невыполнением государственного (муниципального) задания, и своевременность возврата;</w:t>
      </w:r>
    </w:p>
    <w:p w14:paraId="09007AC8" w14:textId="77777777" w:rsidR="00B54880" w:rsidRDefault="00B54880">
      <w:pPr>
        <w:pStyle w:val="ConsPlusNormal"/>
        <w:numPr>
          <w:ilvl w:val="0"/>
          <w:numId w:val="7"/>
        </w:numPr>
        <w:spacing w:before="220"/>
        <w:jc w:val="both"/>
      </w:pPr>
      <w:r>
        <w:t>соответствие предельных цен (тарифов) на платные услуги порядку их установления.</w:t>
      </w:r>
    </w:p>
    <w:p w14:paraId="72730A58" w14:textId="77777777" w:rsidR="00B54880" w:rsidRDefault="00B54880">
      <w:pPr>
        <w:pStyle w:val="ConsPlusNormal"/>
        <w:spacing w:before="220"/>
        <w:jc w:val="both"/>
      </w:pPr>
      <w:r>
        <w:t>Порядок проверки предоставления и использования средств на выполнение государственного (муниципального) задания и финансового обеспечения его выполнения может быть закреплен в методических документах органов контроля. Могут учитываться отраслевые особенности.</w:t>
      </w:r>
    </w:p>
    <w:p w14:paraId="4260BAF2" w14:textId="77777777" w:rsidR="00B54880" w:rsidRDefault="00B54880">
      <w:pPr>
        <w:pStyle w:val="ConsPlusNormal"/>
        <w:spacing w:before="220"/>
        <w:jc w:val="both"/>
      </w:pPr>
      <w:r>
        <w:t xml:space="preserve">Например, КСП Москвы, контролируя формирование объемов финансового обеспечения выполнения </w:t>
      </w:r>
      <w:proofErr w:type="spellStart"/>
      <w:r>
        <w:t>госзадания</w:t>
      </w:r>
      <w:proofErr w:type="spellEnd"/>
      <w:r>
        <w:t xml:space="preserve"> образовательных учреждений, подведомственных Департаменту образования г. Москвы, проводит, в частности (</w:t>
      </w:r>
      <w:hyperlink r:id="rId41">
        <w:r>
          <w:rPr>
            <w:color w:val="0000FF"/>
          </w:rPr>
          <w:t>п. п. 3.1</w:t>
        </w:r>
      </w:hyperlink>
      <w:r>
        <w:t xml:space="preserve"> - </w:t>
      </w:r>
      <w:hyperlink r:id="rId42">
        <w:r>
          <w:rPr>
            <w:color w:val="0000FF"/>
          </w:rPr>
          <w:t>3.3</w:t>
        </w:r>
      </w:hyperlink>
      <w:r>
        <w:t xml:space="preserve"> Методических рекомендаций, утвержденных Приказом КСП Москвы от 06.04.2017 N 24/01-05):</w:t>
      </w:r>
    </w:p>
    <w:p w14:paraId="13F09BD3" w14:textId="77777777" w:rsidR="00B54880" w:rsidRDefault="00B54880">
      <w:pPr>
        <w:pStyle w:val="ConsPlusNormal"/>
        <w:numPr>
          <w:ilvl w:val="0"/>
          <w:numId w:val="8"/>
        </w:numPr>
        <w:spacing w:before="220"/>
        <w:jc w:val="both"/>
      </w:pPr>
      <w:r>
        <w:t>проверку обоснованности показателей госуслуги с учетом численности обучающихся детей-инвалидов, детей с ограниченными возможностями здоровья (контролируется наличие справок об инвалидности, документов, подтверждающих ограничение возможностей здоровья);</w:t>
      </w:r>
    </w:p>
    <w:p w14:paraId="1096B330" w14:textId="77777777" w:rsidR="00B54880" w:rsidRDefault="00B54880">
      <w:pPr>
        <w:pStyle w:val="ConsPlusNormal"/>
        <w:numPr>
          <w:ilvl w:val="0"/>
          <w:numId w:val="8"/>
        </w:numPr>
        <w:spacing w:before="220"/>
        <w:jc w:val="both"/>
      </w:pPr>
      <w:r>
        <w:t>проверку объемов финансового обеспечения каждой госуслуги исходя из ее установленного объема, утвержденных нормативов и применяемых коэффициентов;</w:t>
      </w:r>
    </w:p>
    <w:p w14:paraId="0065017F" w14:textId="77777777" w:rsidR="00B54880" w:rsidRDefault="00B54880">
      <w:pPr>
        <w:pStyle w:val="ConsPlusNormal"/>
        <w:numPr>
          <w:ilvl w:val="0"/>
          <w:numId w:val="8"/>
        </w:numPr>
        <w:spacing w:before="220"/>
        <w:jc w:val="both"/>
      </w:pPr>
      <w:r>
        <w:t>проверку обоснования объема финансового обеспечения каждой государственной работы (например, на соответствие смете);</w:t>
      </w:r>
    </w:p>
    <w:p w14:paraId="3DF71C6F" w14:textId="77777777" w:rsidR="00B54880" w:rsidRDefault="00B54880">
      <w:pPr>
        <w:pStyle w:val="ConsPlusNormal"/>
        <w:numPr>
          <w:ilvl w:val="0"/>
          <w:numId w:val="8"/>
        </w:numPr>
        <w:spacing w:before="220"/>
        <w:jc w:val="both"/>
      </w:pPr>
      <w:r>
        <w:lastRenderedPageBreak/>
        <w:t>анализ причин расхождения между рассчитанным и доведенным объемами финансового обеспечения.</w:t>
      </w:r>
    </w:p>
    <w:p w14:paraId="4C0AAA1D" w14:textId="77777777" w:rsidR="00B54880" w:rsidRDefault="00B54880">
      <w:pPr>
        <w:pStyle w:val="ConsPlusNormal"/>
        <w:jc w:val="both"/>
      </w:pPr>
    </w:p>
    <w:p w14:paraId="502CEFF4" w14:textId="77777777" w:rsidR="00B54880" w:rsidRDefault="00B5488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B54880" w14:paraId="40787EBA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402D" w14:textId="77777777" w:rsidR="00B54880" w:rsidRDefault="00B54880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2F0E4B3" w14:textId="77777777" w:rsidR="00B54880" w:rsidRDefault="00B54880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9B2FBB7" wp14:editId="426F6FA0">
                  <wp:extent cx="152400" cy="1524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E828583" w14:textId="77777777" w:rsidR="00B54880" w:rsidRDefault="00B54880">
            <w:pPr>
              <w:pStyle w:val="ConsPlusNormal"/>
              <w:jc w:val="both"/>
            </w:pPr>
            <w:r>
              <w:t>См. также:</w:t>
            </w:r>
          </w:p>
          <w:p w14:paraId="6048CE4D" w14:textId="77777777" w:rsidR="00B54880" w:rsidRDefault="00B54880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43">
              <w:r>
                <w:rPr>
                  <w:color w:val="0000FF"/>
                </w:rPr>
                <w:t>Как сформировать государственное (муниципальное) задание для учреждения</w:t>
              </w:r>
            </w:hyperlink>
          </w:p>
          <w:p w14:paraId="641F4666" w14:textId="77777777" w:rsidR="00B54880" w:rsidRDefault="00B54880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44">
              <w:r>
                <w:rPr>
                  <w:color w:val="0000FF"/>
                </w:rPr>
                <w:t>Как учреждению учитывать субсидию на финансовое обеспечение выполнения государственного (муниципального) задания</w:t>
              </w:r>
            </w:hyperlink>
          </w:p>
          <w:p w14:paraId="1EDC9C83" w14:textId="77777777" w:rsidR="00B54880" w:rsidRDefault="00B54880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45">
              <w:r>
                <w:rPr>
                  <w:color w:val="0000FF"/>
                </w:rPr>
                <w:t>Какие нарушения (риски) могут выявить при проверке предоставления и использования средств на выполнение государственного (муниципального) задания на оказание услуг (выполнение работ)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FED2" w14:textId="77777777" w:rsidR="00B54880" w:rsidRDefault="00B54880">
            <w:pPr>
              <w:pStyle w:val="ConsPlusNormal"/>
            </w:pPr>
          </w:p>
        </w:tc>
      </w:tr>
    </w:tbl>
    <w:p w14:paraId="69A28780" w14:textId="77777777" w:rsidR="00B54880" w:rsidRDefault="00B54880">
      <w:pPr>
        <w:pStyle w:val="ConsPlusNormal"/>
        <w:jc w:val="both"/>
      </w:pPr>
    </w:p>
    <w:p w14:paraId="1B3522DA" w14:textId="77777777" w:rsidR="00B54880" w:rsidRDefault="00B54880">
      <w:pPr>
        <w:pStyle w:val="ConsPlusNormal"/>
        <w:jc w:val="both"/>
      </w:pPr>
    </w:p>
    <w:p w14:paraId="6086C781" w14:textId="77777777" w:rsidR="00B54880" w:rsidRDefault="00B548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DD89CC" w14:textId="77777777" w:rsidR="00051660" w:rsidRDefault="00051660"/>
    <w:sectPr w:rsidR="00051660" w:rsidSect="00FB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3D35"/>
    <w:multiLevelType w:val="multilevel"/>
    <w:tmpl w:val="DB8E70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E35C1"/>
    <w:multiLevelType w:val="multilevel"/>
    <w:tmpl w:val="DBDE7D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77875"/>
    <w:multiLevelType w:val="multilevel"/>
    <w:tmpl w:val="F7AE88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56D15"/>
    <w:multiLevelType w:val="multilevel"/>
    <w:tmpl w:val="F73EB5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94A19"/>
    <w:multiLevelType w:val="multilevel"/>
    <w:tmpl w:val="B2B096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938C0"/>
    <w:multiLevelType w:val="multilevel"/>
    <w:tmpl w:val="D1A09DE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B3EDE"/>
    <w:multiLevelType w:val="multilevel"/>
    <w:tmpl w:val="003AFA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5542CB"/>
    <w:multiLevelType w:val="multilevel"/>
    <w:tmpl w:val="394453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80"/>
    <w:rsid w:val="00051660"/>
    <w:rsid w:val="00B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9E5"/>
  <w15:chartTrackingRefBased/>
  <w15:docId w15:val="{69D4173C-3797-4762-A180-E7400B7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48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61085&amp;dst=4880" TargetMode="External"/><Relationship Id="rId18" Type="http://schemas.openxmlformats.org/officeDocument/2006/relationships/hyperlink" Target="https://login.consultant.ru/link/?req=doc&amp;base=FKBS&amp;n=1" TargetMode="External"/><Relationship Id="rId26" Type="http://schemas.openxmlformats.org/officeDocument/2006/relationships/hyperlink" Target="https://login.consultant.ru/link/?req=doc&amp;base=RZB&amp;n=375063&amp;dst=100085" TargetMode="External"/><Relationship Id="rId39" Type="http://schemas.openxmlformats.org/officeDocument/2006/relationships/hyperlink" Target="https://login.consultant.ru/link/?req=doc&amp;base=RZB&amp;n=343796&amp;dst=100326" TargetMode="External"/><Relationship Id="rId21" Type="http://schemas.openxmlformats.org/officeDocument/2006/relationships/hyperlink" Target="https://login.consultant.ru/link/?req=doc&amp;base=PKBO&amp;n=49100&amp;dst=100006" TargetMode="External"/><Relationship Id="rId34" Type="http://schemas.openxmlformats.org/officeDocument/2006/relationships/hyperlink" Target="https://login.consultant.ru/link/?req=doc&amp;base=RZB&amp;n=152678&amp;dst=100962" TargetMode="External"/><Relationship Id="rId42" Type="http://schemas.openxmlformats.org/officeDocument/2006/relationships/hyperlink" Target="https://login.consultant.ru/link/?req=doc&amp;base=MLAW&amp;n=178103&amp;dst=10012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61085&amp;dst=4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QSBO&amp;n=19233&amp;dst=100015" TargetMode="External"/><Relationship Id="rId29" Type="http://schemas.openxmlformats.org/officeDocument/2006/relationships/hyperlink" Target="https://login.consultant.ru/link/?req=doc&amp;base=PKBO&amp;n=366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1085" TargetMode="External"/><Relationship Id="rId11" Type="http://schemas.openxmlformats.org/officeDocument/2006/relationships/hyperlink" Target="https://login.consultant.ru/link/?req=doc&amp;base=RZB&amp;n=336810&amp;dst=100069" TargetMode="External"/><Relationship Id="rId24" Type="http://schemas.openxmlformats.org/officeDocument/2006/relationships/hyperlink" Target="https://login.consultant.ru/link/?req=doc&amp;base=RZB&amp;n=461085&amp;dst=6233" TargetMode="External"/><Relationship Id="rId32" Type="http://schemas.openxmlformats.org/officeDocument/2006/relationships/hyperlink" Target="https://login.consultant.ru/link/?req=doc&amp;base=RZB&amp;n=343796&amp;dst=100322" TargetMode="External"/><Relationship Id="rId37" Type="http://schemas.openxmlformats.org/officeDocument/2006/relationships/hyperlink" Target="https://login.consultant.ru/link/?req=doc&amp;base=RZB&amp;n=375063&amp;dst=100218" TargetMode="External"/><Relationship Id="rId40" Type="http://schemas.openxmlformats.org/officeDocument/2006/relationships/hyperlink" Target="https://login.consultant.ru/link/?req=doc&amp;base=RZB&amp;n=343796&amp;dst=100339" TargetMode="External"/><Relationship Id="rId45" Type="http://schemas.openxmlformats.org/officeDocument/2006/relationships/hyperlink" Target="https://login.consultant.ru/link/?req=doc&amp;base=FKBS&amp;n=2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31880&amp;dst=100244" TargetMode="External"/><Relationship Id="rId23" Type="http://schemas.openxmlformats.org/officeDocument/2006/relationships/hyperlink" Target="https://login.consultant.ru/link/?req=doc&amp;base=RZB&amp;n=461085&amp;dst=3138" TargetMode="External"/><Relationship Id="rId28" Type="http://schemas.openxmlformats.org/officeDocument/2006/relationships/hyperlink" Target="https://login.consultant.ru/link/?req=doc&amp;base=RZB&amp;n=453316&amp;dst=565" TargetMode="External"/><Relationship Id="rId36" Type="http://schemas.openxmlformats.org/officeDocument/2006/relationships/hyperlink" Target="https://login.consultant.ru/link/?req=doc&amp;base=RZB&amp;n=461085&amp;dst=4510" TargetMode="External"/><Relationship Id="rId10" Type="http://schemas.openxmlformats.org/officeDocument/2006/relationships/hyperlink" Target="https://login.consultant.ru/link/?req=doc&amp;base=RZB&amp;n=461085&amp;dst=3165" TargetMode="External"/><Relationship Id="rId19" Type="http://schemas.openxmlformats.org/officeDocument/2006/relationships/hyperlink" Target="https://login.consultant.ru/link/?req=doc&amp;base=FKBS&amp;n=2" TargetMode="External"/><Relationship Id="rId31" Type="http://schemas.openxmlformats.org/officeDocument/2006/relationships/hyperlink" Target="https://login.consultant.ru/link/?req=doc&amp;base=RZB&amp;n=375063&amp;dst=100014" TargetMode="External"/><Relationship Id="rId44" Type="http://schemas.openxmlformats.org/officeDocument/2006/relationships/hyperlink" Target="https://login.consultant.ru/link/?req=doc&amp;base=PKBO&amp;n=31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1085&amp;dst=3723" TargetMode="External"/><Relationship Id="rId14" Type="http://schemas.openxmlformats.org/officeDocument/2006/relationships/hyperlink" Target="https://login.consultant.ru/link/?req=doc&amp;base=RZB&amp;n=453316&amp;dst=307" TargetMode="External"/><Relationship Id="rId22" Type="http://schemas.openxmlformats.org/officeDocument/2006/relationships/hyperlink" Target="https://login.consultant.ru/link/?req=doc&amp;base=FKBS&amp;n=42" TargetMode="External"/><Relationship Id="rId27" Type="http://schemas.openxmlformats.org/officeDocument/2006/relationships/hyperlink" Target="https://login.consultant.ru/link/?req=doc&amp;base=RZB&amp;n=375063&amp;dst=100219" TargetMode="External"/><Relationship Id="rId30" Type="http://schemas.openxmlformats.org/officeDocument/2006/relationships/hyperlink" Target="https://login.consultant.ru/link/?req=doc&amp;base=RZB&amp;n=461085&amp;dst=1370" TargetMode="External"/><Relationship Id="rId35" Type="http://schemas.openxmlformats.org/officeDocument/2006/relationships/hyperlink" Target="https://login.consultant.ru/link/?req=doc&amp;base=RZB&amp;n=461085&amp;dst=4509" TargetMode="External"/><Relationship Id="rId43" Type="http://schemas.openxmlformats.org/officeDocument/2006/relationships/hyperlink" Target="https://login.consultant.ru/link/?req=doc&amp;base=PKBO&amp;n=31887" TargetMode="External"/><Relationship Id="rId8" Type="http://schemas.openxmlformats.org/officeDocument/2006/relationships/hyperlink" Target="https://login.consultant.ru/link/?req=doc&amp;base=RZB&amp;n=461085&amp;dst=37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41081&amp;dst=100058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login.consultant.ru/link/?req=doc&amp;base=RZB&amp;n=461085&amp;dst=3674" TargetMode="External"/><Relationship Id="rId33" Type="http://schemas.openxmlformats.org/officeDocument/2006/relationships/hyperlink" Target="https://login.consultant.ru/link/?req=doc&amp;base=RZB&amp;n=447397&amp;dst=100024" TargetMode="External"/><Relationship Id="rId38" Type="http://schemas.openxmlformats.org/officeDocument/2006/relationships/hyperlink" Target="https://login.consultant.ru/link/?req=doc&amp;base=RZB&amp;n=343796&amp;dst=10032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PKBO&amp;n=50660" TargetMode="External"/><Relationship Id="rId41" Type="http://schemas.openxmlformats.org/officeDocument/2006/relationships/hyperlink" Target="https://login.consultant.ru/link/?req=doc&amp;base=MLAW&amp;n=178103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2023-12-27T07:30:00Z</dcterms:created>
  <dcterms:modified xsi:type="dcterms:W3CDTF">2023-12-27T07:31:00Z</dcterms:modified>
</cp:coreProperties>
</file>